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5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济政字〔2024〕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71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uyOu8LsBAACBAwAADgAA AGRycy9lMm9Eb2MueG1srVPLbhsxDLwXyD8Iute7Npq6XXidQxz3ErQGmn4ArceuAL0gql7770vJ iZ20l6KoDzIlkkNyOLu6OzrLDiqhCb7n81nLmfIiSOOHnv942r7/xBlm8BJs8KrnJ4X8bn3zbjXF Ti3CGKxUiRGIx26KPR9zjl3ToBiVA5yFqDw5dUgOMl3T0MgEE6E72yza9mMzhSRjCkIh0uvm7OTr iq+1Evmb1qgysz2n3nI9Uz335WzWK+iGBHE04rkN+IcuHBhPRS9QG8jAfibzB5QzIgUMOs9EcE3Q 2ghVZ6Bp5u1v03wfIao6C5GD8UIT/j9Y8fWwS8zIntOiPDha0aPxis0rNVPEjiLu/S4RUeWGcZfK nEedXPmnCdix0nm60KmOmQl6vP2wnC8/33ImXnzNNTEmzF9UcKwYPbdUtBIIh0fMVIxCX0JKHevZ RPpaLFvaogBSiraQyXSRekc/1GQM1sitsbakYBr29zaxA9Dut9uWfmXdBPwmrFTZAI7nuOo6q2JU IB+8ZPkUiRVP8uWlB6ckZ1aR2otV9ZPB2L+JpNLWUwdXIou1D/JU+a3vtOfa47Mmi5Be32v29ctZ /wJ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62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62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关于提请批准2024年市级预算调整方案的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议    案</w:t>
      </w:r>
      <w:bookmarkEnd w:id="2"/>
    </w:p>
    <w:p>
      <w:pPr>
        <w:spacing w:line="62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市人大常委会：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24" w:firstLineChars="200"/>
        <w:jc w:val="both"/>
        <w:textAlignment w:val="auto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根据《中华人民共和国预算法》及其实施条例、《济宁市人民代表大会常务委员会预算审查监督办法》和财政部有关规定，结合市级年度预算执行及省下达我市政府债务限额情况，现将2024年市级预算调整方案及政府债务限额分配情况报告如下，请予审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24" w:firstLineChars="200"/>
        <w:jc w:val="both"/>
        <w:textAlignment w:val="auto"/>
        <w:rPr>
          <w:rFonts w:ascii="方正黑体简体" w:hAnsi="Tahoma" w:eastAsia="方正黑体简体" w:cs="Tahoma"/>
          <w:b/>
          <w:color w:val="000000"/>
          <w:sz w:val="32"/>
          <w:szCs w:val="32"/>
        </w:rPr>
      </w:pPr>
      <w:r>
        <w:rPr>
          <w:rFonts w:ascii="方正黑体简体" w:hAnsi="Tahoma" w:eastAsia="方正黑体简体" w:cs="Tahoma"/>
          <w:b/>
          <w:color w:val="000000"/>
          <w:sz w:val="32"/>
          <w:szCs w:val="32"/>
        </w:rPr>
        <w:t>一、2024年市级预算调整方案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24" w:firstLineChars="200"/>
        <w:jc w:val="both"/>
        <w:textAlignment w:val="auto"/>
        <w:rPr>
          <w:rFonts w:ascii="方正楷体简体" w:hAnsi="Tahoma" w:eastAsia="方正楷体简体" w:cs="Tahoma"/>
          <w:b/>
          <w:color w:val="000000"/>
          <w:sz w:val="32"/>
          <w:szCs w:val="32"/>
        </w:rPr>
      </w:pPr>
      <w:r>
        <w:rPr>
          <w:rFonts w:ascii="方正楷体简体" w:hAnsi="Tahoma" w:eastAsia="方正楷体简体" w:cs="Tahoma"/>
          <w:b/>
          <w:color w:val="000000"/>
          <w:sz w:val="32"/>
          <w:szCs w:val="32"/>
        </w:rPr>
        <w:t>（一）市级一般公共预算调整方案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1. 市级一般公共预算总收入调增12.3亿元。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一是调入资金调增4.5亿元。主要是由于国有企业上缴收益增加等因素，相应调增一般公共预算调入资金。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二是地方政府一般债券转贷收入调增7.8亿元。主要是年度中上级下达的一般债券转贷收入较年初预算增加。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2. 市级一般公共预算总支出调增12.3亿元。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一是结转下年等调增4.4亿元。主要是市级调入一般公共预算的资金增加，结转下年相应增加。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二是地方政府一般债券支出调增7.9亿元。主要是上级新增下达结存限额8亿元以及再融资债券调减0.1亿元，按规定用于提升地方保障能力，化解政府债务风险。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综合上述因素，市级一般公共预算总收入由年初567.5亿元调整为579.8亿元，调增12.3亿元。市级一般公共预算总支出相应调整为579.8亿元。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楷体简体" w:hAnsi="Tahoma" w:eastAsia="方正楷体简体" w:cs="Tahoma"/>
          <w:b/>
          <w:color w:val="000000"/>
          <w:sz w:val="32"/>
          <w:szCs w:val="32"/>
        </w:rPr>
      </w:pPr>
      <w:r>
        <w:rPr>
          <w:rFonts w:ascii="方正楷体简体" w:hAnsi="Tahoma" w:eastAsia="方正楷体简体" w:cs="Tahoma"/>
          <w:b/>
          <w:color w:val="000000"/>
          <w:sz w:val="32"/>
          <w:szCs w:val="32"/>
        </w:rPr>
        <w:t>（二）市级政府性基金预算调整方案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结合年度执行过程中债券发行规模及土地出让收入等完成情况，拟作如下调整：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1. 市级政府性基金预算总收入调增157.6亿元。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一是国有土地出让收入等调减84亿元。主要是受任城区土地及城市基础设施配套费等入库政策调整、土地出让收入不及预期等因素影响，调减84亿元。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二是新增专项债券转贷收入调增241.6亿元。2024年全市发行政府专项债券396亿元（其中：新增专项债券245.7亿元、置换债券限额56亿元、结存限额7亿元、再融资债券87.3亿元），扣除年初预算安排的154.4亿元后，调增241.6亿元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2. 市级政府性基金预算总支出调增157.6亿元。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一是国有土地出让收入安排的支出等调减83.4亿元。主要是土地出让收入等政府性基金收入不及预期，相应调减政府性基金支出83.4亿元。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二是地方政府债券收入安排的支出等调增241亿元。主要是上级下达的债券资金增加，相应增加本级支出及转贷县（市、区）支出等。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综合上述因素，市级政府性基金预算总收入由341.8亿元调整为499.4亿元，调增157.6亿元。市级政府性基金预算总支出相应调整为499.4亿元。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楷体简体" w:hAnsi="Tahoma" w:eastAsia="方正楷体简体" w:cs="Tahoma"/>
          <w:b/>
          <w:color w:val="000000"/>
          <w:sz w:val="32"/>
          <w:szCs w:val="32"/>
        </w:rPr>
      </w:pPr>
      <w:r>
        <w:rPr>
          <w:rFonts w:ascii="方正楷体简体" w:hAnsi="Tahoma" w:eastAsia="方正楷体简体" w:cs="Tahoma"/>
          <w:b/>
          <w:color w:val="000000"/>
          <w:sz w:val="32"/>
          <w:szCs w:val="32"/>
        </w:rPr>
        <w:t>（三）市级国有资本经营预算调整方案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1. 市级国有资本经营预算总收入调增10.9亿元。主要是济宁城投、济宁能源等国有企业缴纳以前年度国有资本经营收益。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2. 市级国有资本经营预算总支出调增10.9亿元。主要是为提高惠达投资公司融资能力增加注册资本金5亿元，以及增加调出资金等5.9亿元补充一般公共预算。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综合上述因素，市级国有资本经营预算总收入由4.4亿元调整为15.3亿元，调增10.9亿元。市级国有资本经营预算总支出相应调整为15.3亿元，调增10.9亿元。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楷体简体" w:hAnsi="Tahoma" w:eastAsia="方正楷体简体" w:cs="Tahoma"/>
          <w:b/>
          <w:color w:val="000000"/>
          <w:sz w:val="32"/>
          <w:szCs w:val="32"/>
        </w:rPr>
      </w:pPr>
      <w:r>
        <w:rPr>
          <w:rFonts w:ascii="方正楷体简体" w:hAnsi="Tahoma" w:eastAsia="方正楷体简体" w:cs="Tahoma"/>
          <w:b/>
          <w:color w:val="000000"/>
          <w:sz w:val="32"/>
          <w:szCs w:val="32"/>
        </w:rPr>
        <w:t>（四）市级社会保险基金预算调整方案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1. 社会保险基金预算收入调整情况。</w:t>
      </w:r>
    </w:p>
    <w:p>
      <w:pPr>
        <w:pStyle w:val="4"/>
        <w:widowControl w:val="0"/>
        <w:spacing w:beforeAutospacing="0" w:afterAutospacing="0" w:line="620" w:lineRule="exact"/>
        <w:ind w:firstLine="608" w:firstLineChars="200"/>
        <w:jc w:val="both"/>
        <w:rPr>
          <w:rFonts w:ascii="方正仿宋简体" w:hAnsi="Tahoma" w:eastAsia="方正仿宋简体" w:cs="Tahoma"/>
          <w:b/>
          <w:color w:val="000000"/>
          <w:spacing w:val="-4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pacing w:val="-4"/>
          <w:sz w:val="32"/>
          <w:szCs w:val="32"/>
        </w:rPr>
        <w:t>2024年市级社会保险基金预算收入调减2.29亿元</w:t>
      </w:r>
      <w:r>
        <w:rPr>
          <w:rFonts w:hint="eastAsia" w:ascii="方正仿宋简体" w:hAnsi="Tahoma" w:eastAsia="方正仿宋简体" w:cs="Tahoma"/>
          <w:b/>
          <w:color w:val="000000"/>
          <w:spacing w:val="-4"/>
          <w:sz w:val="32"/>
          <w:szCs w:val="32"/>
          <w:lang w:eastAsia="zh-CN"/>
        </w:rPr>
        <w:t>。</w:t>
      </w:r>
      <w:r>
        <w:rPr>
          <w:rFonts w:ascii="方正仿宋简体" w:hAnsi="Tahoma" w:eastAsia="方正仿宋简体" w:cs="Tahoma"/>
          <w:b/>
          <w:color w:val="000000"/>
          <w:spacing w:val="-4"/>
          <w:sz w:val="32"/>
          <w:szCs w:val="32"/>
        </w:rPr>
        <w:t>主要是受参保人数变动、缴费基数调整、缴费标准提高等因素影响。其中：城乡居民基本养老保险基金收入调增0.16亿元，机关事业单位基本养老保险基金收入调增0.25亿元，职工基本医疗保险基金收入调减1.69亿元，居民基本医疗保险基金收入调减1.01亿元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2. 社会保险基金预算支出调整情况。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2024年市级社会保险基金预算支出调减0.54亿元。主要是受享受政策人数及基金支出政策调整等因素影响。其中：城乡居民基本养老保险基金支出调增0.09亿元，机关事业单位基本养老保险基金支出调增0.2亿元，职工基本医疗保险基金支出调增0.11亿元，居民基本医疗保险基金支出调减0.94亿元。</w:t>
      </w:r>
    </w:p>
    <w:p>
      <w:pPr>
        <w:pStyle w:val="4"/>
        <w:widowControl w:val="0"/>
        <w:numPr>
          <w:ilvl w:val="0"/>
          <w:numId w:val="1"/>
        </w:numPr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社会保险基金预算结余调整情况。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根据市级社会保险基金2023年决算和2024年预算收支调整情况，2024年本年结余、滚存结余分别调整为3.35亿元、131.64亿元。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黑体简体" w:hAnsi="Tahoma" w:eastAsia="方正黑体简体" w:cs="Tahoma"/>
          <w:b/>
          <w:color w:val="000000"/>
          <w:sz w:val="32"/>
          <w:szCs w:val="32"/>
        </w:rPr>
      </w:pPr>
      <w:r>
        <w:rPr>
          <w:rFonts w:ascii="方正黑体简体" w:hAnsi="Tahoma" w:eastAsia="方正黑体简体" w:cs="Tahoma"/>
          <w:b/>
          <w:color w:val="000000"/>
          <w:sz w:val="32"/>
          <w:szCs w:val="32"/>
        </w:rPr>
        <w:t>二、新增政府债务限额分配情况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经省政府批准，省财政厅下达我市2024年度政府债务限额2038.22亿元（一般债务限额535.93亿元、专项债务限额1502.29亿元），当年新增下达限额316.71亿元，其中：一般债务限额增加8亿元（结存限额8亿元），专项债务限额增加308.71亿元（其中：新增专项债券245.71亿元、置换债券限额56亿元、结存限额7亿元）。同时，省财政厅按照中央统一部署，收回我市地方政府债务结存限额4.7亿元（其中：收回一般债务限额3.4亿元、收回专项债务限额1.3亿元）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按照相关规定，为充分发挥政府规范举债对经济社会发展的促进作用，最大限度地使用好政府债务工具，建议市人大常委会按省下达我市的政府债务限额，结合政府债务结存限额收回情况，批准当年下达的全市政府债务限额312.01亿元，其中：一般债务限额增加4.6亿元，专项债务限额增加307.41亿元，扣除省直接分配直管县额度94.06亿元后，市级和非财政直管县可使用217.95亿元。具体分配意见如下：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（一）市级留用70.48亿元。分配市本级44.33亿元、济宁高新区12.95亿元、太白湖新区7.82亿元、济宁经开区5.38亿元。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（二）转贷非财政直管县147.47亿元。根据中央、省相关要求，按照“资金跟着项目走”的原则及置换债券、结存限额使用要求，结合非财政直管县获得国家发改委批准项目需求等因素，转贷任城区57.8亿元、兖州区25.56亿元、曲阜市13.2亿元、邹城市37.28亿元、嘉祥县13.63亿元。</w:t>
      </w:r>
    </w:p>
    <w:p>
      <w:pPr>
        <w:pStyle w:val="4"/>
        <w:widowControl w:val="0"/>
        <w:spacing w:beforeAutospacing="0" w:afterAutospacing="0" w:line="62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以上调整议案，请予审查批准。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wordWrap w:val="0"/>
        <w:spacing w:beforeAutospacing="0" w:afterAutospacing="0" w:line="580" w:lineRule="exact"/>
        <w:ind w:firstLine="624" w:firstLineChars="200"/>
        <w:jc w:val="right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济宁市人民政府          </w:t>
      </w:r>
    </w:p>
    <w:p>
      <w:pPr>
        <w:pStyle w:val="4"/>
        <w:widowControl w:val="0"/>
        <w:wordWrap w:val="0"/>
        <w:spacing w:beforeAutospacing="0" w:afterAutospacing="0" w:line="580" w:lineRule="exact"/>
        <w:ind w:firstLine="624" w:firstLineChars="200"/>
        <w:jc w:val="right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2024年12月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val="en-US" w:eastAsia="zh-CN"/>
        </w:rPr>
        <w:t>20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日</w:t>
      </w:r>
      <w:bookmarkStart w:id="4" w:name="_GoBack"/>
      <w:bookmarkEnd w:id="4"/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      </w:t>
      </w:r>
    </w:p>
    <w:p>
      <w:pPr>
        <w:pStyle w:val="4"/>
        <w:widowControl w:val="0"/>
        <w:spacing w:beforeAutospacing="0" w:afterAutospacing="0" w:line="600" w:lineRule="exact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                             </w:t>
      </w: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440" w:lineRule="exact"/>
        <w:ind w:firstLine="1242" w:firstLineChars="3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740" w:lineRule="exact"/>
        <w:ind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1661312;mso-width-relative:page;mso-height-relative:page;" filled="f" stroked="t" coordsize="21600,21600" o:gfxdata="UEsFBgAAAAAAAAAAAAAAAAAAAAAAAFBLAwQKAAAAAACHTuJAAAAAAAAAAAAAAAAABAAAAGRycy9Q SwMEFAAAAAgAh07iQD1TmznVAAAABgEAAA8AAABkcnMvZG93bnJldi54bWxNj81OwzAQhO9IvIO1 SNyokyLREOL0AKoqEJe2SFy38RIH4nUauz+8PYs4lOPMrGa+reYn36sDjbELbCCfZKCIm2A7bg28 bRY3BaiYkC32gcnAN0WY15cXFZY2HHlFh3VqlZRwLNGAS2kotY6NI49xEgZiyT7C6DGJHFttRzxK ue/1NMvutMeOZcHhQI+Omq/13hvAp+UqvRfTl1n37F4/N4vd0hU7Y66v8uwBVKJTOh/DL76gQy1M 27BnG1VvQB5JBor8HpSkxexWjO2foetK/8evfwBQSwMEFAAAAAgAh07iQHsvMbm5AQAAgQMAAA4A AABkcnMvZTJvRG9jLnhtbK1TTW/bMAy9D+h/EHRf7HrLOhhxemjaXYotwLofwOjDFqAviFqc/PtR Spq222UY5oNMieQj+fS0uj04y/YqoQl+4NeLljPlRZDGjwP/8fTw/jNnmMFLsMGrgR8V8tv11bvV HHvVhSlYqRIjEI/9HAc+5Rz7pkExKQe4CFF5cuqQHGTaprGRCWZCd7bp2vZTM4ckYwpCIdLp5uTk 64qvtRL5m9aoMrMDp95yXVNdd2Vt1ivoxwRxMuLcBvxDFw6Mp6IXqA1kYD+T+QPKGZECBp0XIrgm aG2EqjPQNNftb9N8nyCqOguRg/FCE/4/WPF1v03MyIHfcObB0RU9Gq9Y1xVq5og9Rdz5bTrvMG5T mfOgkyt/moAdKp3HC53qkJmgw+Xy44flklgXz77mJTEmzF9UcKwYA7dUtBII+0fMVIxCn0NKHevZ TPrqbtqCB6QUbSGT6SL1jn6syRiskQ/G2pKCadzd2cT2UO6+fmUmAn4TVqpsAKdTXHWdVDEpkPde snyMxIon+fLSg1OSM6tI7cUiQOgzGPs3kVTaeuqg0Hoisli7II+V33pO91x7PGuyCOn1vma/vJz1 L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60288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CXUfg64AQAAgQMAAA4A AABkcnMvZTJvRG9jLnhtbK1Ty27bMBC8F+g/ELzXko0kLQTLOcRNL0FroM0HrMmVRIAvcFnL/vsu acfp41IU9YEmubuzs8PR+v7orDhgIhN8L5eLVgr0Kmjjx14+f3t890EKyuA12OCxlyckeb95+2Y9 xw5XYQpWYxIM4qmbYy+nnGPXNKQmdECLENFzcAjJQeZjGhudYGZ0Z5tV2941c0g6pqCQiG+356Dc VPxhQJW/DANhFraXzC3XNdV1X9Zms4ZuTBAnoy404B9YODCem16htpBBfE/mDyhnVAoUhrxQwTVh GIzCOgNPs2x/m+brBBHrLCwOxatM9P9g1efDLgmje3knhQfHT/RkPIrVskgzR+o448Hv0uVEcZfK nMchufLPE4hjlfN0lROPWSi+vL29uWlbVl29xJrXwpgof8LgRNn00nLTKiAcnihzM059SSl9rBcz +2v1vuIBO2WwkBnaReZOfqzFFKzRj8baUkJp3D/YJA5Q3r7+ykwM/Eta6bIFms55NXR2xYSgP3ot 8imyKp7tKwsHh1oKi+z2smNA6DIY+zeZ3Np6ZlBkPQtZdvugT1Xfes/vXDlePFmM9PO5Vr9+OZsf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 2024年12月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20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5 -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6 -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E6B3F"/>
    <w:multiLevelType w:val="singleLevel"/>
    <w:tmpl w:val="B7FE6B3F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true"/>
  <w:bordersDoNotSurroundFooter w:val="true"/>
  <w:documentProtection w:enforcement="1" w:edit="readOnly" w:salt="sMFPU3nCUqCLTeHA71wFjQ==" w:hash="yItRe9VAuIgJ2q8mDK3SoUqgyqFmj/hR3wG4+J7ltdFD5cHfKmbhdimZkpiZ0Nw/O8K9RWEc+OMpVhHcOGiv4Q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271AF7"/>
    <w:rsid w:val="003A2A05"/>
    <w:rsid w:val="00623306"/>
    <w:rsid w:val="00633F78"/>
    <w:rsid w:val="0071078F"/>
    <w:rsid w:val="007B3EEF"/>
    <w:rsid w:val="008A2671"/>
    <w:rsid w:val="009C5E24"/>
    <w:rsid w:val="00AD082E"/>
    <w:rsid w:val="00AD4F0C"/>
    <w:rsid w:val="00BF4213"/>
    <w:rsid w:val="00CD750B"/>
    <w:rsid w:val="00E64C4D"/>
    <w:rsid w:val="00EF4394"/>
    <w:rsid w:val="2393304B"/>
    <w:rsid w:val="34BD93C8"/>
    <w:rsid w:val="4FDE7805"/>
    <w:rsid w:val="761F8DE9"/>
    <w:rsid w:val="7ABBACF1"/>
    <w:rsid w:val="7B4E70D1"/>
    <w:rsid w:val="7EE73D63"/>
    <w:rsid w:val="7FA2FDAE"/>
    <w:rsid w:val="BADD2781"/>
    <w:rsid w:val="FEDF3E42"/>
    <w:rsid w:val="FEFFE0FE"/>
    <w:rsid w:val="FFEF9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10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sz w:val="24"/>
    </w:rPr>
  </w:style>
  <w:style w:type="character" w:customStyle="1" w:styleId="7">
    <w:name w:val="页脚 Char"/>
    <w:basedOn w:val="6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普通(网站)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numbering.xml" Type="http://schemas.openxmlformats.org/officeDocument/2006/relationships/numbering"/><Relationship Id="rId8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2121</Words>
  <Characters>465</Characters>
  <Lines>3</Lines>
  <Paragraphs>5</Paragraphs>
  <TotalTime>6</TotalTime>
  <ScaleCrop>false</ScaleCrop>
  <LinksUpToDate>false</LinksUpToDate>
  <CharactersWithSpaces>2581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2019-12-21T10:47:00Z</dcterms:created>
  <dc:creator>nizy</dc:creator>
  <cp:lastModifiedBy>user</cp:lastModifiedBy>
  <cp:lastPrinted>2024-12-23T11:49:03Z</cp:lastPrinted>
  <dcterms:modified xsi:type="dcterms:W3CDTF">2024-12-23T11:49:04Z</dcterms:modified>
  <dc:title>济 宁 市 人 民 政 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